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mc:Ignorable="w14 wp14">
  <w:body>
    <w:p xmlns:wp14="http://schemas.microsoft.com/office/word/2010/wordml" w14:paraId="672A6659" wp14:textId="77777777">
      <w:pPr>
        <w:pStyle w:val="No Spacing"/>
        <w:spacing w:before="1540" w:after="240"/>
        <w:jc w:val="center"/>
        <w:rPr>
          <w:outline w:val="0"/>
          <w:color w:val="5b9bd5"/>
          <w:sz w:val="16"/>
          <w:szCs w:val="16"/>
          <w:u w:color="5b9bd5"/>
          <w:lang w:val="en-US"/>
          <w14:textFill>
            <w14:solidFill>
              <w14:srgbClr w14:val="5B9BD5"/>
            </w14:solidFill>
          </w14:textFill>
        </w:rPr>
      </w:pPr>
      <w:r>
        <w:rPr>
          <w:outline w:val="0"/>
          <w:color w:val="5b9bd5"/>
          <w:u w:color="5b9bd5"/>
          <w:lang w:val="en-US"/>
          <w14:textFill>
            <w14:solidFill>
              <w14:srgbClr w14:val="5B9BD5"/>
            </w14:solidFill>
          </w14:textFill>
        </w:rPr>
        <w:br w:type="textWrapping"/>
      </w:r>
    </w:p>
    <w:p xmlns:wp14="http://schemas.microsoft.com/office/word/2010/wordml" w14:paraId="150D86E4" wp14:textId="77777777">
      <w:pPr>
        <w:pStyle w:val="Style2"/>
        <w:rPr>
          <w:caps w:val="1"/>
          <w:sz w:val="80"/>
          <w:szCs w:val="80"/>
        </w:rPr>
      </w:pPr>
      <w:r>
        <w:rPr>
          <w:rtl w:val="0"/>
          <w:lang w:val="en-US"/>
        </w:rPr>
        <w:t>Our Lady</w:t>
      </w:r>
      <w:r>
        <w:rPr>
          <w:rtl w:val="0"/>
          <w:lang w:val="en-US"/>
        </w:rPr>
        <w:t>’</w:t>
      </w:r>
      <w:r>
        <w:rPr>
          <w:rtl w:val="0"/>
          <w:lang w:val="en-US"/>
        </w:rPr>
        <w:t>s Catholic College</w:t>
      </w:r>
    </w:p>
    <w:p xmlns:wp14="http://schemas.microsoft.com/office/word/2010/wordml" w14:paraId="393F0293" wp14:textId="77777777">
      <w:pPr>
        <w:pStyle w:val="Body"/>
        <w:tabs>
          <w:tab w:val="left" w:pos="1937"/>
        </w:tabs>
      </w:pPr>
      <w:r>
        <w:rPr>
          <w:outline w:val="0"/>
          <w:color w:val="5b9bd5"/>
          <w:u w:color="5b9bd5"/>
          <w14:textFill>
            <w14:solidFill>
              <w14:srgbClr w14:val="5B9BD5"/>
            </w14:solidFill>
          </w14:textFill>
        </w:rPr>
        <mc:AlternateContent>
          <mc:Choice Requires="wps">
            <w:drawing xmlns:a="http://schemas.openxmlformats.org/drawingml/2006/main">
              <wp:anchor xmlns:wp14="http://schemas.microsoft.com/office/word/2010/wordprocessingDrawing" distT="0" distB="0" distL="0" distR="0" simplePos="0" relativeHeight="251659264" behindDoc="0" locked="0" layoutInCell="1" allowOverlap="1" wp14:anchorId="362E9AF4" wp14:editId="7777777">
                <wp:simplePos x="0" y="0"/>
                <wp:positionH relativeFrom="page">
                  <wp:posOffset>523875</wp:posOffset>
                </wp:positionH>
                <wp:positionV relativeFrom="line">
                  <wp:posOffset>-149225</wp:posOffset>
                </wp:positionV>
                <wp:extent cx="6553200" cy="685800"/>
                <wp:effectExtent l="0" t="0" r="0" b="0"/>
                <wp:wrapNone/>
                <wp:docPr id="1073741827" name="officeArt object" descr="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12700" cap="flat">
                          <a:noFill/>
                          <a:miter lim="400000"/>
                        </a:ln>
                        <a:effectLst/>
                      </wps:spPr>
                      <wps:txbx>
                        <w:txbxContent>
                          <w:p xmlns:wp14="http://schemas.microsoft.com/office/word/2010/wordml" w14:paraId="0A37501D" wp14:textId="77777777">
                            <w:pPr>
                              <w:pStyle w:val="No Spacing"/>
                              <w:spacing w:after="40"/>
                              <w:jc w:val="center"/>
                            </w:pPr>
                          </w:p>
                          <w:p xmlns:wp14="http://schemas.microsoft.com/office/word/2010/wordml" w14:paraId="48CCFEF1" wp14:textId="77777777">
                            <w:pPr>
                              <w:pStyle w:val="No Spacing"/>
                              <w:spacing w:after="40"/>
                              <w:jc w:val="center"/>
                              <w:rPr>
                                <w:caps w:val="1"/>
                                <w:outline w:val="0"/>
                                <w:color w:val="5b9bd5"/>
                                <w:sz w:val="28"/>
                                <w:szCs w:val="28"/>
                                <w:u w:color="5b9bd5"/>
                                <w14:textFill>
                                  <w14:solidFill>
                                    <w14:srgbClr w14:val="5B9BD5"/>
                                  </w14:solidFill>
                                </w14:textFill>
                              </w:rPr>
                            </w:pPr>
                            <w:r>
                              <w:rPr>
                                <w:rtl w:val="0"/>
                                <w:lang w:val="en-US"/>
                              </w:rPr>
                              <w:t xml:space="preserve">  </w:t>
                            </w:r>
                            <w:r>
                              <w:rPr>
                                <w:rStyle w:val="subject heading"/>
                                <w:rtl w:val="0"/>
                                <w:lang w:val="en-US"/>
                              </w:rPr>
                              <w:t xml:space="preserve">MFL Assessment </w:t>
                            </w:r>
                            <w:r>
                              <w:rPr>
                                <w:rStyle w:val="subject heading"/>
                                <w:rtl w:val="0"/>
                                <w:lang w:val="en-US"/>
                              </w:rPr>
                              <w:t xml:space="preserve"> Overview </w:t>
                            </w:r>
                            <w:r>
                              <w:rPr>
                                <w:rStyle w:val="subject heading"/>
                                <w:rtl w:val="0"/>
                                <w:lang w:val="en-US"/>
                              </w:rPr>
                              <w:t>and Rationale</w:t>
                            </w:r>
                          </w:p>
                          <w:p xmlns:wp14="http://schemas.microsoft.com/office/word/2010/wordml" w14:paraId="4B3FD267" wp14:textId="77777777">
                            <w:pPr>
                              <w:pStyle w:val="No Spacing"/>
                              <w:jc w:val="center"/>
                            </w:pPr>
                            <w:r>
                              <w:rPr>
                                <w:outline w:val="0"/>
                                <w:color w:val="595959"/>
                                <w:sz w:val="18"/>
                                <w:szCs w:val="18"/>
                                <w:u w:color="595959"/>
                                <w:rtl w:val="0"/>
                                <w:lang w:val="en-US"/>
                                <w14:textFill>
                                  <w14:solidFill>
                                    <w14:srgbClr w14:val="595959"/>
                                  </w14:solidFill>
                                </w14:textFill>
                              </w:rPr>
                              <w:t>Our Lady</w:t>
                            </w:r>
                            <w:r>
                              <w:rPr>
                                <w:outline w:val="0"/>
                                <w:color w:val="595959"/>
                                <w:sz w:val="18"/>
                                <w:szCs w:val="18"/>
                                <w:u w:color="595959"/>
                                <w:rtl w:val="0"/>
                                <w:lang w:val="en-US"/>
                                <w14:textFill>
                                  <w14:solidFill>
                                    <w14:srgbClr w14:val="595959"/>
                                  </w14:solidFill>
                                </w14:textFill>
                              </w:rPr>
                              <w:t>’</w:t>
                            </w:r>
                            <w:r>
                              <w:rPr>
                                <w:outline w:val="0"/>
                                <w:color w:val="595959"/>
                                <w:sz w:val="18"/>
                                <w:szCs w:val="18"/>
                                <w:u w:color="595959"/>
                                <w:rtl w:val="0"/>
                                <w:lang w:val="en-US"/>
                                <w14:textFill>
                                  <w14:solidFill>
                                    <w14:srgbClr w14:val="595959"/>
                                  </w14:solidFill>
                                </w14:textFill>
                              </w:rPr>
                              <w:t>s Catholic College, Morecambe road, Lancaster, La12rx</w:t>
                            </w:r>
                          </w:p>
                        </w:txbxContent>
                      </wps:txbx>
                      <wps:bodyPr wrap="square" lIns="0" tIns="0" rIns="0" bIns="0" numCol="1" anchor="b">
                        <a:noAutofit/>
                      </wps:bodyPr>
                    </wps:wsp>
                  </a:graphicData>
                </a:graphic>
              </wp:anchor>
            </w:drawing>
          </mc:Choice>
          <mc:Fallback>
            <w:pict w14:anchorId="6531AC2E">
              <v:shape id="_x0000_s1026" style="visibility:visible;position:absolute;margin-left:41.2pt;margin-top:-11.8pt;width:516.0pt;height:54.0pt;z-index:251659264;mso-position-horizontal:absolute;mso-position-horizontal-relative:page;mso-position-vertical:absolute;mso-position-vertical-relative:line;mso-wrap-distance-left:0.0pt;mso-wrap-distance-top:0.0pt;mso-wrap-distance-right:0.0pt;mso-wrap-distance-bottom:0.0pt;" type="#_x0000_t202">
                <v:fill on="f"/>
                <v:stroke on="f" weight="1.0pt" linestyle="single" miterlimit="400.0%" joinstyle="miter" endcap="flat" dashstyle="solid" startarrow="none" startarrowwidth="medium" startarrowlength="medium" endarrow="none" endarrowwidth="medium" endarrowlength="medium"/>
                <v:textbox>
                  <w:txbxContent>
                    <w:p w14:paraId="5DAB6C7B" wp14:textId="77777777">
                      <w:pPr>
                        <w:pStyle w:val="No Spacing"/>
                        <w:spacing w:after="40"/>
                        <w:jc w:val="center"/>
                      </w:pPr>
                    </w:p>
                    <w:p w14:paraId="6272C4C7" wp14:textId="77777777">
                      <w:pPr>
                        <w:pStyle w:val="No Spacing"/>
                        <w:spacing w:after="40"/>
                        <w:jc w:val="center"/>
                        <w:rPr>
                          <w:caps w:val="1"/>
                          <w:outline w:val="0"/>
                          <w:color w:val="5b9bd5"/>
                          <w:sz w:val="28"/>
                          <w:szCs w:val="28"/>
                          <w:u w:color="5b9bd5"/>
                          <w14:textFill>
                            <w14:solidFill>
                              <w14:srgbClr w14:val="5B9BD5"/>
                            </w14:solidFill>
                          </w14:textFill>
                        </w:rPr>
                      </w:pPr>
                      <w:r>
                        <w:rPr>
                          <w:rtl w:val="0"/>
                          <w:lang w:val="en-US"/>
                        </w:rPr>
                        <w:t xml:space="preserve">  </w:t>
                      </w:r>
                      <w:r>
                        <w:rPr>
                          <w:rStyle w:val="subject heading"/>
                          <w:rtl w:val="0"/>
                          <w:lang w:val="en-US"/>
                        </w:rPr>
                        <w:t xml:space="preserve">MFL Assessment </w:t>
                      </w:r>
                      <w:r>
                        <w:rPr>
                          <w:rStyle w:val="subject heading"/>
                          <w:rtl w:val="0"/>
                          <w:lang w:val="en-US"/>
                        </w:rPr>
                        <w:t xml:space="preserve"> Overview </w:t>
                      </w:r>
                      <w:r>
                        <w:rPr>
                          <w:rStyle w:val="subject heading"/>
                          <w:rtl w:val="0"/>
                          <w:lang w:val="en-US"/>
                        </w:rPr>
                        <w:t>and Rationale</w:t>
                      </w:r>
                    </w:p>
                    <w:p w14:paraId="522AE0B4" wp14:textId="77777777">
                      <w:pPr>
                        <w:pStyle w:val="No Spacing"/>
                        <w:jc w:val="center"/>
                      </w:pPr>
                      <w:r>
                        <w:rPr>
                          <w:outline w:val="0"/>
                          <w:color w:val="595959"/>
                          <w:sz w:val="18"/>
                          <w:szCs w:val="18"/>
                          <w:u w:color="595959"/>
                          <w:rtl w:val="0"/>
                          <w:lang w:val="en-US"/>
                          <w14:textFill>
                            <w14:solidFill>
                              <w14:srgbClr w14:val="595959"/>
                            </w14:solidFill>
                          </w14:textFill>
                        </w:rPr>
                        <w:t>Our Lady</w:t>
                      </w:r>
                      <w:r>
                        <w:rPr>
                          <w:outline w:val="0"/>
                          <w:color w:val="595959"/>
                          <w:sz w:val="18"/>
                          <w:szCs w:val="18"/>
                          <w:u w:color="595959"/>
                          <w:rtl w:val="0"/>
                          <w:lang w:val="en-US"/>
                          <w14:textFill>
                            <w14:solidFill>
                              <w14:srgbClr w14:val="595959"/>
                            </w14:solidFill>
                          </w14:textFill>
                        </w:rPr>
                        <w:t>’</w:t>
                      </w:r>
                      <w:r>
                        <w:rPr>
                          <w:outline w:val="0"/>
                          <w:color w:val="595959"/>
                          <w:sz w:val="18"/>
                          <w:szCs w:val="18"/>
                          <w:u w:color="595959"/>
                          <w:rtl w:val="0"/>
                          <w:lang w:val="en-US"/>
                          <w14:textFill>
                            <w14:solidFill>
                              <w14:srgbClr w14:val="595959"/>
                            </w14:solidFill>
                          </w14:textFill>
                        </w:rPr>
                        <w:t>s Catholic College, Morecambe road, Lancaster, La12rx</w:t>
                      </w:r>
                    </w:p>
                  </w:txbxContent>
                </v:textbox>
                <w10:wrap type="none" side="bothSides" anchorx="page"/>
              </v:shape>
            </w:pict>
          </mc:Fallback>
        </mc:AlternateContent>
      </w:r>
      <w:r>
        <w:tab/>
      </w:r>
    </w:p>
    <w:p xmlns:wp14="http://schemas.microsoft.com/office/word/2010/wordml" w14:paraId="02EB378F" wp14:textId="77777777">
      <w:pPr>
        <w:pStyle w:val="Body"/>
      </w:pPr>
    </w:p>
    <w:p xmlns:wp14="http://schemas.microsoft.com/office/word/2010/wordml" w14:paraId="6A05A809" wp14:textId="77777777">
      <w:pPr>
        <w:pStyle w:val="Body"/>
      </w:pPr>
    </w:p>
    <w:p xmlns:wp14="http://schemas.microsoft.com/office/word/2010/wordml" w14:paraId="5A39BBE3" wp14:textId="77777777">
      <w:pPr>
        <w:pStyle w:val="Body"/>
      </w:pPr>
    </w:p>
    <w:p xmlns:wp14="http://schemas.microsoft.com/office/word/2010/wordml" w14:paraId="41C8F396" wp14:textId="77777777">
      <w:pPr>
        <w:pStyle w:val="Body"/>
      </w:pPr>
    </w:p>
    <w:p xmlns:wp14="http://schemas.microsoft.com/office/word/2010/wordml" w14:paraId="72A3D3EC" wp14:textId="77777777">
      <w:pPr>
        <w:pStyle w:val="Body"/>
      </w:pPr>
    </w:p>
    <w:p xmlns:wp14="http://schemas.microsoft.com/office/word/2010/wordml" w14:paraId="0D0B940D" wp14:textId="77777777">
      <w:pPr>
        <w:pStyle w:val="Body"/>
      </w:pPr>
    </w:p>
    <w:p xmlns:wp14="http://schemas.microsoft.com/office/word/2010/wordml" w14:paraId="0E27B00A" wp14:textId="77777777">
      <w:pPr>
        <w:pStyle w:val="Body"/>
      </w:pPr>
    </w:p>
    <w:p xmlns:wp14="http://schemas.microsoft.com/office/word/2010/wordml" w14:paraId="60061E4C" wp14:textId="77777777">
      <w:pPr>
        <w:pStyle w:val="Body"/>
      </w:pPr>
    </w:p>
    <w:p xmlns:wp14="http://schemas.microsoft.com/office/word/2010/wordml" w14:paraId="44EAFD9C" wp14:textId="77777777">
      <w:pPr>
        <w:pStyle w:val="Body"/>
      </w:pPr>
    </w:p>
    <w:p xmlns:wp14="http://schemas.microsoft.com/office/word/2010/wordml" w14:paraId="4B94D5A5" wp14:textId="77777777">
      <w:pPr>
        <w:pStyle w:val="Body"/>
        <w:rPr>
          <w:rFonts w:ascii="Carlito" w:hAnsi="Carlito" w:eastAsia="Carlito" w:cs="Carlito"/>
          <w:b w:val="1"/>
          <w:bCs w:val="1"/>
          <w:sz w:val="28"/>
          <w:szCs w:val="28"/>
        </w:rPr>
      </w:pPr>
    </w:p>
    <w:p xmlns:wp14="http://schemas.microsoft.com/office/word/2010/wordml" w:rsidP="270F724D" w14:paraId="37AAF844" wp14:textId="487950EC">
      <w:pPr>
        <w:pStyle w:val="Body"/>
        <w:spacing w:after="0" w:line="240" w:lineRule="auto"/>
        <w:rPr>
          <w:rFonts w:ascii="Carlito" w:hAnsi="Carlito"/>
          <w:b w:val="1"/>
          <w:bCs w:val="1"/>
          <w:sz w:val="28"/>
          <w:szCs w:val="28"/>
          <w:rtl w:val="0"/>
        </w:rPr>
      </w:pPr>
    </w:p>
    <w:p w:rsidR="270F724D" w:rsidRDefault="270F724D" w14:paraId="6CF09B9F" w14:textId="17CDD7BD">
      <w:r>
        <w:br w:type="page"/>
      </w:r>
    </w:p>
    <w:p w:rsidR="7F0319B9" w:rsidP="270F724D" w:rsidRDefault="7F0319B9" w14:paraId="38D76B93" w14:textId="63149355">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Purpose of Assessment</w:t>
      </w:r>
    </w:p>
    <w:p w:rsidR="7F0319B9" w:rsidP="270F724D" w:rsidRDefault="7F0319B9" w14:paraId="2B684E2D" w14:textId="12FA0E80">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Assessment within the Languages Department is designed to provide a clear picture of students’ knowledge, understanding and progress. A combination of ongoing formative assessment and planned summative assessment enables teachers to identify gaps, address misconceptions and adapt teaching accordingly.</w:t>
      </w:r>
    </w:p>
    <w:p w:rsidR="7F0319B9" w:rsidP="270F724D" w:rsidRDefault="7F0319B9" w14:paraId="531C6FB1" w14:textId="4EA94B67">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Assessment is carefully aligned with the curriculum so that students are regularly expected to retrieve, apply and extend previously taught vocabulary, grammar and language structures. This approach supports both immediate learning and the development of long-term retention.</w:t>
      </w:r>
    </w:p>
    <w:p w:rsidR="7F0319B9" w:rsidP="270F724D" w:rsidRDefault="7F0319B9" w14:paraId="440147F7" w14:textId="1989B554">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The department regularly reviews its assessment practices to ensure that they remain purposeful, manageable and closely matched to the essential knowledge identified within each scheme of work.</w:t>
      </w:r>
    </w:p>
    <w:p w:rsidR="7F0319B9" w:rsidP="270F724D" w:rsidRDefault="7F0319B9" w14:paraId="1B3F9594" w14:textId="63777647">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Formative Assessment</w:t>
      </w:r>
    </w:p>
    <w:p w:rsidR="7F0319B9" w:rsidP="270F724D" w:rsidRDefault="7F0319B9" w14:paraId="68068299" w14:textId="6B3EBD0A">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Formative assessment is embedded within everyday classroom practice. Teachers routinely check students’ understanding through:</w:t>
      </w:r>
    </w:p>
    <w:p w:rsidR="7F0319B9" w:rsidP="270F724D" w:rsidRDefault="7F0319B9" w14:paraId="4976AEAB" w14:textId="3B4FEA35">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Mini whiteboard activities</w:t>
      </w:r>
    </w:p>
    <w:p w:rsidR="7F0319B9" w:rsidP="270F724D" w:rsidRDefault="7F0319B9" w14:paraId="74731DED" w14:textId="13CAFB54">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Targeted questioning</w:t>
      </w:r>
    </w:p>
    <w:p w:rsidR="7F0319B9" w:rsidP="270F724D" w:rsidRDefault="7F0319B9" w14:paraId="0390DFFA" w14:textId="08CD10CA">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Cold calling and whole-class questioning</w:t>
      </w:r>
    </w:p>
    <w:p w:rsidR="7F0319B9" w:rsidP="270F724D" w:rsidRDefault="7F0319B9" w14:paraId="08B99CAC" w14:textId="7B758D35">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Turn and Talk and other structured oracy activities</w:t>
      </w:r>
    </w:p>
    <w:p w:rsidR="7F0319B9" w:rsidP="270F724D" w:rsidRDefault="7F0319B9" w14:paraId="3284F494" w14:textId="27E753DF">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Retrieval and recall tasks</w:t>
      </w:r>
    </w:p>
    <w:p w:rsidR="7F0319B9" w:rsidP="270F724D" w:rsidRDefault="7F0319B9" w14:paraId="6E38B0F6" w14:textId="60F5717D">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Vocabulary and grammar checks</w:t>
      </w:r>
    </w:p>
    <w:p w:rsidR="7F0319B9" w:rsidP="270F724D" w:rsidRDefault="7F0319B9" w14:paraId="3C92EA67" w14:textId="7086D97B">
      <w:pPr>
        <w:pStyle w:val="ListParagraph"/>
        <w:numPr>
          <w:ilvl w:val="0"/>
          <w:numId w:val="1"/>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Short reading, listening, speaking and writing activities</w:t>
      </w:r>
    </w:p>
    <w:p w:rsidR="7F0319B9" w:rsidP="270F724D" w:rsidRDefault="7F0319B9" w14:paraId="3106879B" w14:textId="5C230E5B">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These strategies enable teachers to identify misconceptions at the point at which they arise and respond through explanation, modelling, additional practice or reteaching.</w:t>
      </w:r>
    </w:p>
    <w:p w:rsidR="7F0319B9" w:rsidP="270F724D" w:rsidRDefault="7F0319B9" w14:paraId="7F0CF141" w14:textId="33A73944">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A consistent approach is used across the department to ensure that assessment information is gathered regularly and informs adaptive teaching rather than simply recording attainment.</w:t>
      </w:r>
    </w:p>
    <w:p w:rsidR="7F0319B9" w:rsidP="270F724D" w:rsidRDefault="7F0319B9" w14:paraId="2A26D05E" w14:textId="019924C9">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Multiple Inadequate Glances (MIGs)</w:t>
      </w:r>
    </w:p>
    <w:p w:rsidR="7F0319B9" w:rsidP="270F724D" w:rsidRDefault="7F0319B9" w14:paraId="61DAAA8B" w14:textId="2B081017">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MIGs provide a common departmental method for checking whether students have secured the component knowledge required before progressing to the next stage of a sequence of learning.</w:t>
      </w:r>
    </w:p>
    <w:p w:rsidR="7F0319B9" w:rsidP="270F724D" w:rsidRDefault="7F0319B9" w14:paraId="2639A318" w14:textId="56664B64">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Each MIG focuses on the vocabulary and grammatical structures taught across a defined series of lessons. The purpose is to establish whether students have sufficiently understood and retained the key knowledge before it is extended or built upon.</w:t>
      </w:r>
    </w:p>
    <w:p w:rsidR="7F0319B9" w:rsidP="270F724D" w:rsidRDefault="7F0319B9" w14:paraId="498F4146" w14:textId="3761CA12">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MIGs contain two elements:</w:t>
      </w:r>
    </w:p>
    <w:p w:rsidR="7F0319B9" w:rsidP="270F724D" w:rsidRDefault="7F0319B9" w14:paraId="7396EEE9" w14:textId="16ED488B">
      <w:pPr>
        <w:pStyle w:val="ListParagraph"/>
        <w:numPr>
          <w:ilvl w:val="0"/>
          <w:numId w:val="2"/>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b w:val="1"/>
          <w:bCs w:val="1"/>
          <w:color w:val="FFFFFF" w:themeColor="background1" w:themeTint="FF" w:themeShade="FF"/>
          <w:sz w:val="24"/>
          <w:szCs w:val="24"/>
        </w:rPr>
        <w:t>Receptive:</w:t>
      </w:r>
      <w:r w:rsidRPr="270F724D" w:rsidR="7F0319B9">
        <w:rPr>
          <w:rFonts w:ascii="ui-sans-serif" w:hAnsi="ui-sans-serif" w:eastAsia="ui-sans-serif" w:cs="ui-sans-serif"/>
          <w:color w:val="FFFFFF" w:themeColor="background1" w:themeTint="FF" w:themeShade="FF"/>
          <w:sz w:val="24"/>
          <w:szCs w:val="24"/>
        </w:rPr>
        <w:t xml:space="preserve"> reading or listening</w:t>
      </w:r>
    </w:p>
    <w:p w:rsidR="7F0319B9" w:rsidP="270F724D" w:rsidRDefault="7F0319B9" w14:paraId="19EFABFF" w14:textId="3B2FD847">
      <w:pPr>
        <w:pStyle w:val="ListParagraph"/>
        <w:numPr>
          <w:ilvl w:val="0"/>
          <w:numId w:val="2"/>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b w:val="1"/>
          <w:bCs w:val="1"/>
          <w:color w:val="FFFFFF" w:themeColor="background1" w:themeTint="FF" w:themeShade="FF"/>
          <w:sz w:val="24"/>
          <w:szCs w:val="24"/>
        </w:rPr>
        <w:t>Productive:</w:t>
      </w:r>
      <w:r w:rsidRPr="270F724D" w:rsidR="7F0319B9">
        <w:rPr>
          <w:rFonts w:ascii="ui-sans-serif" w:hAnsi="ui-sans-serif" w:eastAsia="ui-sans-serif" w:cs="ui-sans-serif"/>
          <w:color w:val="FFFFFF" w:themeColor="background1" w:themeTint="FF" w:themeShade="FF"/>
          <w:sz w:val="24"/>
          <w:szCs w:val="24"/>
        </w:rPr>
        <w:t xml:space="preserve"> speaking or writing</w:t>
      </w:r>
    </w:p>
    <w:p w:rsidR="7F0319B9" w:rsidP="270F724D" w:rsidRDefault="7F0319B9" w14:paraId="2ACE726D" w14:textId="28E4A9E2">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This ensures that students are not only able to recognise and understand language, but can also retrieve and use it independently.</w:t>
      </w:r>
    </w:p>
    <w:p w:rsidR="7F0319B9" w:rsidP="270F724D" w:rsidRDefault="7F0319B9" w14:paraId="023C0E0E" w14:textId="3B2D938A">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MIGs are identified explicitly within departmental schemes of work and are marked with a common departmental symbol on teaching resources. The associated materials are stored within the shared departmental area, ensuring that resources are accessible and that expectations remain consistent between classes and teachers.</w:t>
      </w:r>
    </w:p>
    <w:p w:rsidR="7F0319B9" w:rsidP="270F724D" w:rsidRDefault="7F0319B9" w14:paraId="1C97ABBA" w14:textId="59DCC0E2">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Following each MIG, teachers use the outcomes to determine appropriate next steps. Where understanding is secure, teaching can move forward; where weaknesses or misconceptions are identified, teachers can revisit the relevant knowledge before introducing further content.</w:t>
      </w:r>
    </w:p>
    <w:p w:rsidR="7F0319B9" w:rsidP="270F724D" w:rsidRDefault="7F0319B9" w14:paraId="7B533600" w14:textId="12265E2F">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Results are recorded centrally on SIMS to support departmental tracking and monitoring. This enables staff to identify patterns over time and to recognise students or areas of learning requiring additional support.</w:t>
      </w:r>
    </w:p>
    <w:p w:rsidR="7F0319B9" w:rsidP="270F724D" w:rsidRDefault="7F0319B9" w14:paraId="7F658D7C" w14:textId="589349A0">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Vocabulary and Grammar Assessment</w:t>
      </w:r>
    </w:p>
    <w:p w:rsidR="7F0319B9" w:rsidP="270F724D" w:rsidRDefault="7F0319B9" w14:paraId="2F2476FA" w14:textId="2EE6A226">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The secure acquisition of vocabulary and grammatical structures is central to the Languages curriculum. Students therefore encounter regular opportunities to retrieve and demonstrate this knowledge throughout their course.</w:t>
      </w:r>
    </w:p>
    <w:p w:rsidR="7F0319B9" w:rsidP="270F724D" w:rsidRDefault="7F0319B9" w14:paraId="73E7DA58" w14:textId="681DADB0">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Assessment tasks include explicit checks of:</w:t>
      </w:r>
    </w:p>
    <w:p w:rsidR="7F0319B9" w:rsidP="270F724D" w:rsidRDefault="7F0319B9" w14:paraId="4EFDA506" w14:textId="4C722B8C">
      <w:pPr>
        <w:pStyle w:val="ListParagraph"/>
        <w:numPr>
          <w:ilvl w:val="0"/>
          <w:numId w:val="3"/>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Core vocabulary</w:t>
      </w:r>
    </w:p>
    <w:p w:rsidR="7F0319B9" w:rsidP="270F724D" w:rsidRDefault="7F0319B9" w14:paraId="40314C79" w14:textId="075FCAE8">
      <w:pPr>
        <w:pStyle w:val="ListParagraph"/>
        <w:numPr>
          <w:ilvl w:val="0"/>
          <w:numId w:val="3"/>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High-frequency language</w:t>
      </w:r>
    </w:p>
    <w:p w:rsidR="7F0319B9" w:rsidP="270F724D" w:rsidRDefault="7F0319B9" w14:paraId="385BEDCC" w14:textId="08A4F12D">
      <w:pPr>
        <w:pStyle w:val="ListParagraph"/>
        <w:numPr>
          <w:ilvl w:val="0"/>
          <w:numId w:val="3"/>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Key grammatical concepts</w:t>
      </w:r>
    </w:p>
    <w:p w:rsidR="7F0319B9" w:rsidP="270F724D" w:rsidRDefault="7F0319B9" w14:paraId="26A770F1" w14:textId="1BE8AD63">
      <w:pPr>
        <w:pStyle w:val="ListParagraph"/>
        <w:numPr>
          <w:ilvl w:val="0"/>
          <w:numId w:val="3"/>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Sentence formation</w:t>
      </w:r>
    </w:p>
    <w:p w:rsidR="7F0319B9" w:rsidP="270F724D" w:rsidRDefault="7F0319B9" w14:paraId="5F38AC71" w14:textId="69A51F37">
      <w:pPr>
        <w:pStyle w:val="ListParagraph"/>
        <w:numPr>
          <w:ilvl w:val="0"/>
          <w:numId w:val="3"/>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Accurate application of structures</w:t>
      </w:r>
    </w:p>
    <w:p w:rsidR="7F0319B9" w:rsidP="270F724D" w:rsidRDefault="7F0319B9" w14:paraId="64DF1B85" w14:textId="730C0298">
      <w:pPr>
        <w:pStyle w:val="ListParagraph"/>
        <w:numPr>
          <w:ilvl w:val="0"/>
          <w:numId w:val="3"/>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Previously taught language through cumulative retrieval</w:t>
      </w:r>
    </w:p>
    <w:p w:rsidR="7F0319B9" w:rsidP="270F724D" w:rsidRDefault="7F0319B9" w14:paraId="2194BD77" w14:textId="49757572">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Common misconceptions identified through departmental evaluation are deliberately incorporated into assessment and subsequently addressed through teaching.</w:t>
      </w:r>
    </w:p>
    <w:p w:rsidR="7F0319B9" w:rsidP="270F724D" w:rsidRDefault="7F0319B9" w14:paraId="670AE97F" w14:textId="0292E456">
      <w:pPr>
        <w:pStyle w:val="Heading3"/>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Key Stage 3</w:t>
      </w:r>
    </w:p>
    <w:p w:rsidR="7F0319B9" w:rsidP="270F724D" w:rsidRDefault="7F0319B9" w14:paraId="5F9C053E" w14:textId="7D10561F">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 xml:space="preserve">Students complete a </w:t>
      </w:r>
      <w:r w:rsidRPr="270F724D" w:rsidR="7F0319B9">
        <w:rPr>
          <w:rFonts w:ascii="ui-sans-serif" w:hAnsi="ui-sans-serif" w:eastAsia="ui-sans-serif" w:cs="ui-sans-serif"/>
          <w:b w:val="1"/>
          <w:bCs w:val="1"/>
          <w:color w:val="FFFFFF" w:themeColor="background1" w:themeTint="FF" w:themeShade="FF"/>
          <w:sz w:val="24"/>
          <w:szCs w:val="24"/>
        </w:rPr>
        <w:t>10-mark vocabulary assessment at least twice each term</w:t>
      </w:r>
      <w:r w:rsidRPr="270F724D" w:rsidR="7F0319B9">
        <w:rPr>
          <w:rFonts w:ascii="ui-sans-serif" w:hAnsi="ui-sans-serif" w:eastAsia="ui-sans-serif" w:cs="ui-sans-serif"/>
          <w:color w:val="FFFFFF" w:themeColor="background1" w:themeTint="FF" w:themeShade="FF"/>
          <w:sz w:val="24"/>
          <w:szCs w:val="24"/>
        </w:rPr>
        <w:t>. These tests are completed and reviewed in class, with students marking their own work. Scores are recorded in students’ books to provide an ongoing indication of vocabulary acquisition and retention.</w:t>
      </w:r>
    </w:p>
    <w:p w:rsidR="7F0319B9" w:rsidP="270F724D" w:rsidRDefault="7F0319B9" w14:paraId="177BB946" w14:textId="4B9226C2">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Vocabulary testing is not viewed as an isolated assessment activity. It forms part of a wider retrieval strategy in which previously taught language is revisited regularly and increasingly expected to be recalled independently.</w:t>
      </w:r>
    </w:p>
    <w:p w:rsidR="7F0319B9" w:rsidP="270F724D" w:rsidRDefault="7F0319B9" w14:paraId="5AB59541" w14:textId="37D4291C">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Standardised Assessments</w:t>
      </w:r>
    </w:p>
    <w:p w:rsidR="7F0319B9" w:rsidP="270F724D" w:rsidRDefault="7F0319B9" w14:paraId="671ABF99" w14:textId="482BFA3D">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Standardised assessments provide more formal opportunities to evaluate students’ progress against the curriculum and ensure that assessment information is comparable across classes.</w:t>
      </w:r>
    </w:p>
    <w:p w:rsidR="7F0319B9" w:rsidP="270F724D" w:rsidRDefault="7F0319B9" w14:paraId="7D542E74" w14:textId="7FB2D3F8">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 xml:space="preserve">At </w:t>
      </w:r>
      <w:r w:rsidRPr="270F724D" w:rsidR="7F0319B9">
        <w:rPr>
          <w:rFonts w:ascii="ui-sans-serif" w:hAnsi="ui-sans-serif" w:eastAsia="ui-sans-serif" w:cs="ui-sans-serif"/>
          <w:b w:val="1"/>
          <w:bCs w:val="1"/>
          <w:color w:val="FFFFFF" w:themeColor="background1" w:themeTint="FF" w:themeShade="FF"/>
          <w:sz w:val="24"/>
          <w:szCs w:val="24"/>
        </w:rPr>
        <w:t>Key Stage 3</w:t>
      </w:r>
      <w:r w:rsidRPr="270F724D" w:rsidR="7F0319B9">
        <w:rPr>
          <w:rFonts w:ascii="ui-sans-serif" w:hAnsi="ui-sans-serif" w:eastAsia="ui-sans-serif" w:cs="ui-sans-serif"/>
          <w:color w:val="FFFFFF" w:themeColor="background1" w:themeTint="FF" w:themeShade="FF"/>
          <w:sz w:val="24"/>
          <w:szCs w:val="24"/>
        </w:rPr>
        <w:t>, students complete at least one standardised assessment each half term. These assessments are marked by the class teacher and focus on:</w:t>
      </w:r>
    </w:p>
    <w:p w:rsidR="7F0319B9" w:rsidP="270F724D" w:rsidRDefault="7F0319B9" w14:paraId="35A9AAA9" w14:textId="40CB8F03">
      <w:pPr>
        <w:pStyle w:val="ListParagraph"/>
        <w:numPr>
          <w:ilvl w:val="0"/>
          <w:numId w:val="4"/>
        </w:numPr>
        <w:spacing w:before="0" w:beforeAutospacing="off" w:after="0" w:afterAutospacing="off"/>
        <w:rPr>
          <w:rFonts w:ascii="ui-sans-serif" w:hAnsi="ui-sans-serif" w:eastAsia="ui-sans-serif" w:cs="ui-sans-serif"/>
          <w:b w:val="1"/>
          <w:bCs w:val="1"/>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 xml:space="preserve">One receptive skill: </w:t>
      </w:r>
      <w:r w:rsidRPr="270F724D" w:rsidR="7F0319B9">
        <w:rPr>
          <w:rFonts w:ascii="ui-sans-serif" w:hAnsi="ui-sans-serif" w:eastAsia="ui-sans-serif" w:cs="ui-sans-serif"/>
          <w:b w:val="1"/>
          <w:bCs w:val="1"/>
          <w:color w:val="FFFFFF" w:themeColor="background1" w:themeTint="FF" w:themeShade="FF"/>
          <w:sz w:val="24"/>
          <w:szCs w:val="24"/>
        </w:rPr>
        <w:t>reading or listening</w:t>
      </w:r>
    </w:p>
    <w:p w:rsidR="7F0319B9" w:rsidP="270F724D" w:rsidRDefault="7F0319B9" w14:paraId="43F527B0" w14:textId="41AED024">
      <w:pPr>
        <w:pStyle w:val="ListParagraph"/>
        <w:numPr>
          <w:ilvl w:val="0"/>
          <w:numId w:val="4"/>
        </w:numPr>
        <w:spacing w:before="0" w:beforeAutospacing="off" w:after="0" w:afterAutospacing="off"/>
        <w:rPr>
          <w:rFonts w:ascii="ui-sans-serif" w:hAnsi="ui-sans-serif" w:eastAsia="ui-sans-serif" w:cs="ui-sans-serif"/>
          <w:b w:val="1"/>
          <w:bCs w:val="1"/>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 xml:space="preserve">One productive skill: </w:t>
      </w:r>
      <w:r w:rsidRPr="270F724D" w:rsidR="7F0319B9">
        <w:rPr>
          <w:rFonts w:ascii="ui-sans-serif" w:hAnsi="ui-sans-serif" w:eastAsia="ui-sans-serif" w:cs="ui-sans-serif"/>
          <w:b w:val="1"/>
          <w:bCs w:val="1"/>
          <w:color w:val="FFFFFF" w:themeColor="background1" w:themeTint="FF" w:themeShade="FF"/>
          <w:sz w:val="24"/>
          <w:szCs w:val="24"/>
        </w:rPr>
        <w:t>speaking or writing</w:t>
      </w:r>
    </w:p>
    <w:p w:rsidR="7F0319B9" w:rsidP="270F724D" w:rsidRDefault="7F0319B9" w14:paraId="0B3D344B" w14:textId="4C85789C">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Assessments draw upon both recent and previously taught content. This cumulative approach allows teachers to assess not only what students have learned recently, but also the extent to which knowledge has been retained and can be successfully applied over time.</w:t>
      </w:r>
    </w:p>
    <w:p w:rsidR="7F0319B9" w:rsidP="270F724D" w:rsidRDefault="7F0319B9" w14:paraId="0F2ECFEF" w14:textId="352E1761">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Formal examinations in Years 7–9 contribute to these standardised assessment opportunities.</w:t>
      </w:r>
    </w:p>
    <w:p w:rsidR="7F0319B9" w:rsidP="270F724D" w:rsidRDefault="7F0319B9" w14:paraId="7CE3C57E" w14:textId="0AE16A6E">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Assessment outcomes are used to identify strengths, gaps and priorities for future teaching rather than simply to generate a numerical grade.</w:t>
      </w:r>
    </w:p>
    <w:p w:rsidR="7F0319B9" w:rsidP="270F724D" w:rsidRDefault="7F0319B9" w14:paraId="3628FDB1" w14:textId="5B7537B5">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Key Stage 4</w:t>
      </w:r>
    </w:p>
    <w:p w:rsidR="7F0319B9" w:rsidP="270F724D" w:rsidRDefault="7F0319B9" w14:paraId="2138A356" w14:textId="1E6FCFDE">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At KS4, assessment continues to combine regular low-stakes retrieval with more formal examination-style assessment.</w:t>
      </w:r>
    </w:p>
    <w:p w:rsidR="7F0319B9" w:rsidP="270F724D" w:rsidRDefault="7F0319B9" w14:paraId="032942C8" w14:textId="7EA10B2E">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Students complete regular vocabulary tests, which are marked in class. These can be revisited or repeated where appropriate and provide frequent opportunities for retrieval, reinforcement and interleaving throughout the GCSE course.</w:t>
      </w:r>
    </w:p>
    <w:p w:rsidR="7F0319B9" w:rsidP="270F724D" w:rsidRDefault="7F0319B9" w14:paraId="0F23AE42" w14:textId="7EAFC455">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 xml:space="preserve">In half terms where there is no </w:t>
      </w:r>
      <w:r w:rsidRPr="270F724D" w:rsidR="7F0319B9">
        <w:rPr>
          <w:rFonts w:ascii="ui-sans-serif" w:hAnsi="ui-sans-serif" w:eastAsia="ui-sans-serif" w:cs="ui-sans-serif"/>
          <w:color w:val="FFFFFF" w:themeColor="background1" w:themeTint="FF" w:themeShade="FF"/>
          <w:sz w:val="24"/>
          <w:szCs w:val="24"/>
        </w:rPr>
        <w:t>standardized</w:t>
      </w:r>
      <w:r w:rsidRPr="270F724D" w:rsidR="7F0319B9">
        <w:rPr>
          <w:rFonts w:ascii="ui-sans-serif" w:hAnsi="ui-sans-serif" w:eastAsia="ui-sans-serif" w:cs="ui-sans-serif"/>
          <w:color w:val="FFFFFF" w:themeColor="background1" w:themeTint="FF" w:themeShade="FF"/>
          <w:sz w:val="24"/>
          <w:szCs w:val="24"/>
        </w:rPr>
        <w:t xml:space="preserve"> assessment, students complete at least one </w:t>
      </w:r>
      <w:r w:rsidRPr="270F724D" w:rsidR="7F0319B9">
        <w:rPr>
          <w:rFonts w:ascii="ui-sans-serif" w:hAnsi="ui-sans-serif" w:eastAsia="ui-sans-serif" w:cs="ui-sans-serif"/>
          <w:b w:val="1"/>
          <w:bCs w:val="1"/>
          <w:color w:val="FFFFFF" w:themeColor="background1" w:themeTint="FF" w:themeShade="FF"/>
          <w:sz w:val="24"/>
          <w:szCs w:val="24"/>
        </w:rPr>
        <w:t>exam-style question</w:t>
      </w:r>
      <w:r w:rsidRPr="270F724D" w:rsidR="7F0319B9">
        <w:rPr>
          <w:rFonts w:ascii="ui-sans-serif" w:hAnsi="ui-sans-serif" w:eastAsia="ui-sans-serif" w:cs="ui-sans-serif"/>
          <w:color w:val="FFFFFF" w:themeColor="background1" w:themeTint="FF" w:themeShade="FF"/>
          <w:sz w:val="24"/>
          <w:szCs w:val="24"/>
        </w:rPr>
        <w:t xml:space="preserve">, which is assessed by the class teacher. Questions are selected to reflect the content and skills that students have </w:t>
      </w:r>
      <w:r w:rsidRPr="270F724D" w:rsidR="7F0319B9">
        <w:rPr>
          <w:rFonts w:ascii="ui-sans-serif" w:hAnsi="ui-sans-serif" w:eastAsia="ui-sans-serif" w:cs="ui-sans-serif"/>
          <w:color w:val="FFFFFF" w:themeColor="background1" w:themeTint="FF" w:themeShade="FF"/>
          <w:sz w:val="24"/>
          <w:szCs w:val="24"/>
        </w:rPr>
        <w:t>encountered</w:t>
      </w:r>
      <w:r w:rsidRPr="270F724D" w:rsidR="7F0319B9">
        <w:rPr>
          <w:rFonts w:ascii="ui-sans-serif" w:hAnsi="ui-sans-serif" w:eastAsia="ui-sans-serif" w:cs="ui-sans-serif"/>
          <w:color w:val="FFFFFF" w:themeColor="background1" w:themeTint="FF" w:themeShade="FF"/>
          <w:sz w:val="24"/>
          <w:szCs w:val="24"/>
        </w:rPr>
        <w:t xml:space="preserve"> and to build familiarity with GCSE assessment demands.</w:t>
      </w:r>
    </w:p>
    <w:p w:rsidR="7F0319B9" w:rsidP="270F724D" w:rsidRDefault="7F0319B9" w14:paraId="3A7A4DED" w14:textId="2C2F27BB">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 xml:space="preserve">Where appropriate, feedback is delivered through </w:t>
      </w:r>
      <w:r w:rsidRPr="270F724D" w:rsidR="7F0319B9">
        <w:rPr>
          <w:rFonts w:ascii="ui-sans-serif" w:hAnsi="ui-sans-serif" w:eastAsia="ui-sans-serif" w:cs="ui-sans-serif"/>
          <w:b w:val="1"/>
          <w:bCs w:val="1"/>
          <w:color w:val="FFFFFF" w:themeColor="background1" w:themeTint="FF" w:themeShade="FF"/>
          <w:sz w:val="24"/>
          <w:szCs w:val="24"/>
        </w:rPr>
        <w:t>whole-class feedback and marking</w:t>
      </w:r>
      <w:r w:rsidRPr="270F724D" w:rsidR="7F0319B9">
        <w:rPr>
          <w:rFonts w:ascii="ui-sans-serif" w:hAnsi="ui-sans-serif" w:eastAsia="ui-sans-serif" w:cs="ui-sans-serif"/>
          <w:color w:val="FFFFFF" w:themeColor="background1" w:themeTint="FF" w:themeShade="FF"/>
          <w:sz w:val="24"/>
          <w:szCs w:val="24"/>
        </w:rPr>
        <w:t>, allowing common errors and misconceptions to be addressed efficiently and ensuring that feedback directly informs subsequent learning.</w:t>
      </w:r>
    </w:p>
    <w:p w:rsidR="7F0319B9" w:rsidP="270F724D" w:rsidRDefault="7F0319B9" w14:paraId="6C4F4C67" w14:textId="4C0C0832">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Mock examinations in Years 10 and 11 form part of the department’s standardised assessment programme.</w:t>
      </w:r>
    </w:p>
    <w:p w:rsidR="7F0319B9" w:rsidP="270F724D" w:rsidRDefault="7F0319B9" w14:paraId="64801B64" w14:textId="2276A129">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GCSE and A-Level Assessment</w:t>
      </w:r>
    </w:p>
    <w:p w:rsidR="7F0319B9" w:rsidP="270F724D" w:rsidRDefault="7F0319B9" w14:paraId="5E0B3C8A" w14:textId="48B65BFA">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At GCSE and A-Level, the department uses appropriately selected past-paper questions alongside other assessment materials. These are chosen according to the themes and language that students have studied at the relevant point in the course.</w:t>
      </w:r>
    </w:p>
    <w:p w:rsidR="7F0319B9" w:rsidP="270F724D" w:rsidRDefault="7F0319B9" w14:paraId="3187E23F" w14:textId="7435A970">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Using authentic examination materials enables students to become familiar with the structure, style and demands of the final examinations. It also allows teachers to apply the relevant examination-board mark schemes and develop consistency in assessment.</w:t>
      </w:r>
    </w:p>
    <w:p w:rsidR="7F0319B9" w:rsidP="270F724D" w:rsidRDefault="7F0319B9" w14:paraId="4BF090CF" w14:textId="2A2433BC">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Assessment opportunities incorporate the different examination skills and strands, including:</w:t>
      </w:r>
    </w:p>
    <w:p w:rsidR="7F0319B9" w:rsidP="270F724D" w:rsidRDefault="7F0319B9" w14:paraId="0B110A13" w14:textId="75462725">
      <w:pPr>
        <w:pStyle w:val="ListParagraph"/>
        <w:numPr>
          <w:ilvl w:val="0"/>
          <w:numId w:val="5"/>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Reading</w:t>
      </w:r>
    </w:p>
    <w:p w:rsidR="7F0319B9" w:rsidP="270F724D" w:rsidRDefault="7F0319B9" w14:paraId="0DA24158" w14:textId="7985BB12">
      <w:pPr>
        <w:pStyle w:val="ListParagraph"/>
        <w:numPr>
          <w:ilvl w:val="0"/>
          <w:numId w:val="5"/>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Listening</w:t>
      </w:r>
    </w:p>
    <w:p w:rsidR="7F0319B9" w:rsidP="270F724D" w:rsidRDefault="7F0319B9" w14:paraId="791CF16B" w14:textId="29A86742">
      <w:pPr>
        <w:pStyle w:val="ListParagraph"/>
        <w:numPr>
          <w:ilvl w:val="0"/>
          <w:numId w:val="5"/>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Writing</w:t>
      </w:r>
    </w:p>
    <w:p w:rsidR="7F0319B9" w:rsidP="270F724D" w:rsidRDefault="7F0319B9" w14:paraId="609FFE78" w14:textId="7D80C90D">
      <w:pPr>
        <w:pStyle w:val="ListParagraph"/>
        <w:numPr>
          <w:ilvl w:val="0"/>
          <w:numId w:val="5"/>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Speaking, where appropriate to the assessment programme</w:t>
      </w:r>
    </w:p>
    <w:p w:rsidR="7F0319B9" w:rsidP="270F724D" w:rsidRDefault="7F0319B9" w14:paraId="0B9D2F3B" w14:textId="4CB54268">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The range of assessment tasks ensures that students are assessed across the breadth of the taught curriculum and are given regular opportunities to practise applying their knowledge in examination conditions.</w:t>
      </w:r>
    </w:p>
    <w:p w:rsidR="7F0319B9" w:rsidP="270F724D" w:rsidRDefault="7F0319B9" w14:paraId="1B87C4B4" w14:textId="1213537A">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Assessment for Long-Term Retention</w:t>
      </w:r>
    </w:p>
    <w:p w:rsidR="7F0319B9" w:rsidP="270F724D" w:rsidRDefault="7F0319B9" w14:paraId="1BD5FAF2" w14:textId="53E7019A">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A key principle of the department’s assessment model is that learning should be cumulative.</w:t>
      </w:r>
    </w:p>
    <w:p w:rsidR="7F0319B9" w:rsidP="270F724D" w:rsidRDefault="7F0319B9" w14:paraId="5977C451" w14:textId="6A651CF0">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Students are therefore regularly assessed on material from earlier units and previous academic years rather than being assessed solely on the most recently taught content. This provides evidence of long-term retention and encourages students to continually retrieve and reconnect existing knowledge.</w:t>
      </w:r>
    </w:p>
    <w:p w:rsidR="7F0319B9" w:rsidP="270F724D" w:rsidRDefault="7F0319B9" w14:paraId="41B2F62C" w14:textId="1F6C3BAE">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Assessment tasks deliberately revisit:</w:t>
      </w:r>
    </w:p>
    <w:p w:rsidR="7F0319B9" w:rsidP="270F724D" w:rsidRDefault="7F0319B9" w14:paraId="00A9A6ED" w14:textId="3033BD67">
      <w:pPr>
        <w:pStyle w:val="ListParagraph"/>
        <w:numPr>
          <w:ilvl w:val="0"/>
          <w:numId w:val="6"/>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Previously taught vocabulary</w:t>
      </w:r>
    </w:p>
    <w:p w:rsidR="7F0319B9" w:rsidP="270F724D" w:rsidRDefault="7F0319B9" w14:paraId="2E1DBD01" w14:textId="6E8EB966">
      <w:pPr>
        <w:pStyle w:val="ListParagraph"/>
        <w:numPr>
          <w:ilvl w:val="0"/>
          <w:numId w:val="6"/>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Core grammatical structures</w:t>
      </w:r>
    </w:p>
    <w:p w:rsidR="7F0319B9" w:rsidP="270F724D" w:rsidRDefault="7F0319B9" w14:paraId="25B86587" w14:textId="06BD3D6A">
      <w:pPr>
        <w:pStyle w:val="ListParagraph"/>
        <w:numPr>
          <w:ilvl w:val="0"/>
          <w:numId w:val="6"/>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High-frequency language</w:t>
      </w:r>
    </w:p>
    <w:p w:rsidR="7F0319B9" w:rsidP="270F724D" w:rsidRDefault="7F0319B9" w14:paraId="65B62010" w14:textId="0364D64E">
      <w:pPr>
        <w:pStyle w:val="ListParagraph"/>
        <w:numPr>
          <w:ilvl w:val="0"/>
          <w:numId w:val="6"/>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Commonly confused language</w:t>
      </w:r>
    </w:p>
    <w:p w:rsidR="7F0319B9" w:rsidP="270F724D" w:rsidRDefault="7F0319B9" w14:paraId="7D2979F0" w14:textId="5CB3F218">
      <w:pPr>
        <w:pStyle w:val="ListParagraph"/>
        <w:numPr>
          <w:ilvl w:val="0"/>
          <w:numId w:val="6"/>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Key sentence structures</w:t>
      </w:r>
    </w:p>
    <w:p w:rsidR="7F0319B9" w:rsidP="270F724D" w:rsidRDefault="7F0319B9" w14:paraId="26011C68" w14:textId="41B80061">
      <w:pPr>
        <w:pStyle w:val="ListParagraph"/>
        <w:numPr>
          <w:ilvl w:val="0"/>
          <w:numId w:val="6"/>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Content from earlier units and academic years</w:t>
      </w:r>
    </w:p>
    <w:p w:rsidR="7F0319B9" w:rsidP="270F724D" w:rsidRDefault="7F0319B9" w14:paraId="6204F9A7" w14:textId="1D52B206">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This ensures that assessment supports the wider curriculum ambition of developing students who can independently recall and manipulate language rather than simply reproduce recently practised material.</w:t>
      </w:r>
    </w:p>
    <w:p w:rsidR="7F0319B9" w:rsidP="270F724D" w:rsidRDefault="7F0319B9" w14:paraId="16817AB6" w14:textId="3987C2E4">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Assessment, Feedback and Responsive Teaching</w:t>
      </w:r>
    </w:p>
    <w:p w:rsidR="7F0319B9" w:rsidP="270F724D" w:rsidRDefault="7F0319B9" w14:paraId="45B3652D" w14:textId="024A6E46">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Assessment information is used primarily to improve teaching and learning.</w:t>
      </w:r>
    </w:p>
    <w:p w:rsidR="7F0319B9" w:rsidP="270F724D" w:rsidRDefault="7F0319B9" w14:paraId="23448208" w14:textId="4ADAF1DA">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Teachers consider assessment outcomes alongside their knowledge of individual classes to identify:</w:t>
      </w:r>
    </w:p>
    <w:p w:rsidR="7F0319B9" w:rsidP="270F724D" w:rsidRDefault="7F0319B9" w14:paraId="372AFA0A" w14:textId="72A57D78">
      <w:pPr>
        <w:pStyle w:val="ListParagraph"/>
        <w:numPr>
          <w:ilvl w:val="0"/>
          <w:numId w:val="7"/>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Knowledge that has been securely acquired</w:t>
      </w:r>
    </w:p>
    <w:p w:rsidR="7F0319B9" w:rsidP="270F724D" w:rsidRDefault="7F0319B9" w14:paraId="60FD8779" w14:textId="16640EF7">
      <w:pPr>
        <w:pStyle w:val="ListParagraph"/>
        <w:numPr>
          <w:ilvl w:val="0"/>
          <w:numId w:val="7"/>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Areas requiring further explanation or modelling</w:t>
      </w:r>
    </w:p>
    <w:p w:rsidR="7F0319B9" w:rsidP="270F724D" w:rsidRDefault="7F0319B9" w14:paraId="482DFF98" w14:textId="011E553E">
      <w:pPr>
        <w:pStyle w:val="ListParagraph"/>
        <w:numPr>
          <w:ilvl w:val="0"/>
          <w:numId w:val="7"/>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Persistent misconceptions</w:t>
      </w:r>
    </w:p>
    <w:p w:rsidR="7F0319B9" w:rsidP="270F724D" w:rsidRDefault="7F0319B9" w14:paraId="3435063D" w14:textId="43717B3D">
      <w:pPr>
        <w:pStyle w:val="ListParagraph"/>
        <w:numPr>
          <w:ilvl w:val="0"/>
          <w:numId w:val="7"/>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Students requiring additional support</w:t>
      </w:r>
    </w:p>
    <w:p w:rsidR="7F0319B9" w:rsidP="270F724D" w:rsidRDefault="7F0319B9" w14:paraId="35D44218" w14:textId="526348F9">
      <w:pPr>
        <w:pStyle w:val="ListParagraph"/>
        <w:numPr>
          <w:ilvl w:val="0"/>
          <w:numId w:val="7"/>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Opportunities for greater challenge</w:t>
      </w:r>
    </w:p>
    <w:p w:rsidR="7F0319B9" w:rsidP="270F724D" w:rsidRDefault="7F0319B9" w14:paraId="3CA6C815" w14:textId="2E415482">
      <w:pPr>
        <w:pStyle w:val="ListParagraph"/>
        <w:numPr>
          <w:ilvl w:val="0"/>
          <w:numId w:val="7"/>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Content requiring further retrieval</w:t>
      </w:r>
    </w:p>
    <w:p w:rsidR="7F0319B9" w:rsidP="270F724D" w:rsidRDefault="7F0319B9" w14:paraId="1EED56DD" w14:textId="23AC75FD">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Feedback may be provided individually, through whole-class feedback, through live marking or through subsequent teaching and retrieval activities. The approach is intended to be proportionate and purposeful, avoiding unnecessary marking while ensuring that assessment has a clear impact on subsequent learning.</w:t>
      </w:r>
    </w:p>
    <w:p w:rsidR="7F0319B9" w:rsidP="270F724D" w:rsidRDefault="7F0319B9" w14:paraId="7B29DF30" w14:textId="46E65E1E">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Year 11 Assessment and Revision</w:t>
      </w:r>
    </w:p>
    <w:p w:rsidR="7F0319B9" w:rsidP="270F724D" w:rsidRDefault="7F0319B9" w14:paraId="2D36A9C8" w14:textId="6A0DB802">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 xml:space="preserve">By Easter, the Year 11 curriculum is expected to have been completed. During </w:t>
      </w:r>
      <w:r w:rsidRPr="270F724D" w:rsidR="7F0319B9">
        <w:rPr>
          <w:rFonts w:ascii="ui-sans-serif" w:hAnsi="ui-sans-serif" w:eastAsia="ui-sans-serif" w:cs="ui-sans-serif"/>
          <w:b w:val="1"/>
          <w:bCs w:val="1"/>
          <w:color w:val="FFFFFF" w:themeColor="background1" w:themeTint="FF" w:themeShade="FF"/>
          <w:sz w:val="24"/>
          <w:szCs w:val="24"/>
        </w:rPr>
        <w:t>HT5</w:t>
      </w:r>
      <w:r w:rsidRPr="270F724D" w:rsidR="7F0319B9">
        <w:rPr>
          <w:rFonts w:ascii="ui-sans-serif" w:hAnsi="ui-sans-serif" w:eastAsia="ui-sans-serif" w:cs="ui-sans-serif"/>
          <w:color w:val="FFFFFF" w:themeColor="background1" w:themeTint="FF" w:themeShade="FF"/>
          <w:sz w:val="24"/>
          <w:szCs w:val="24"/>
        </w:rPr>
        <w:t>, the emphasis therefore shifts towards systematic revision, examination preparation and addressing identified areas of weakness.</w:t>
      </w:r>
    </w:p>
    <w:p w:rsidR="7F0319B9" w:rsidP="270F724D" w:rsidRDefault="7F0319B9" w14:paraId="402E3143" w14:textId="22FAF2AF">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Students undertake predicted and examination-style papers to rehearse the demands of the final examinations and to identify remaining gaps in knowledge and skill.</w:t>
      </w:r>
    </w:p>
    <w:p w:rsidR="7F0319B9" w:rsidP="270F724D" w:rsidRDefault="7F0319B9" w14:paraId="107AD276" w14:textId="56B88B4E">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During this period, there is no expectation for additional routine book marking where this would not provide meaningful benefit. Assessment is instead used strategically to inform targeted revision, intervention and examination preparation.</w:t>
      </w:r>
    </w:p>
    <w:p w:rsidR="7F0319B9" w:rsidP="270F724D" w:rsidRDefault="7F0319B9" w14:paraId="7C373709" w14:textId="44EA0E7F">
      <w:pPr>
        <w:pStyle w:val="Heading2"/>
        <w:spacing w:before="240" w:beforeAutospacing="off" w:after="60" w:afterAutospacing="off"/>
      </w:pPr>
      <w:r w:rsidRPr="270F724D" w:rsidR="7F0319B9">
        <w:rPr>
          <w:rFonts w:ascii="ui-sans-serif" w:hAnsi="ui-sans-serif" w:eastAsia="ui-sans-serif" w:cs="ui-sans-serif"/>
          <w:b w:val="1"/>
          <w:bCs w:val="1"/>
          <w:color w:val="FFFFFF" w:themeColor="background1" w:themeTint="FF" w:themeShade="FF"/>
        </w:rPr>
        <w:t>Quality Assurance and Departmental Consistency</w:t>
      </w:r>
    </w:p>
    <w:p w:rsidR="7F0319B9" w:rsidP="270F724D" w:rsidRDefault="7F0319B9" w14:paraId="1FF88543" w14:textId="4CC3E4AD">
      <w:pPr>
        <w:spacing w:before="60" w:beforeAutospacing="off" w:after="60" w:afterAutospacing="off"/>
      </w:pPr>
      <w:r w:rsidRPr="270F724D" w:rsidR="7F0319B9">
        <w:rPr>
          <w:rFonts w:ascii="ui-sans-serif" w:hAnsi="ui-sans-serif" w:eastAsia="ui-sans-serif" w:cs="ui-sans-serif"/>
          <w:color w:val="FFFFFF" w:themeColor="background1" w:themeTint="FF" w:themeShade="FF"/>
          <w:sz w:val="24"/>
          <w:szCs w:val="24"/>
        </w:rPr>
        <w:t>Assessment practices are reviewed collaboratively within the department to ensure that they remain aligned with curriculum intent and provide useful information about student learning.</w:t>
      </w:r>
    </w:p>
    <w:p w:rsidR="7F0319B9" w:rsidP="270F724D" w:rsidRDefault="7F0319B9" w14:paraId="12F1BA8D" w14:textId="58E339F8">
      <w:pPr>
        <w:spacing w:before="240" w:beforeAutospacing="off" w:after="240" w:afterAutospacing="off"/>
      </w:pPr>
      <w:r w:rsidRPr="270F724D" w:rsidR="7F0319B9">
        <w:rPr>
          <w:rFonts w:ascii="ui-sans-serif" w:hAnsi="ui-sans-serif" w:eastAsia="ui-sans-serif" w:cs="ui-sans-serif"/>
          <w:color w:val="FFFFFF" w:themeColor="background1" w:themeTint="FF" w:themeShade="FF"/>
          <w:sz w:val="24"/>
          <w:szCs w:val="24"/>
        </w:rPr>
        <w:t>The department evaluates assessment materials and outcomes to consider whether assessments:</w:t>
      </w:r>
    </w:p>
    <w:p w:rsidR="7F0319B9" w:rsidP="270F724D" w:rsidRDefault="7F0319B9" w14:paraId="5555C389" w14:textId="460FC1DD">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Test the intended knowledge and skills</w:t>
      </w:r>
    </w:p>
    <w:p w:rsidR="7F0319B9" w:rsidP="270F724D" w:rsidRDefault="7F0319B9" w14:paraId="073E39F3" w14:textId="03CB0830">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Provide appropriate levels of challenge</w:t>
      </w:r>
    </w:p>
    <w:p w:rsidR="7F0319B9" w:rsidP="270F724D" w:rsidRDefault="7F0319B9" w14:paraId="732B6A1E" w14:textId="5F10022A">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Identify misconceptions effectively</w:t>
      </w:r>
    </w:p>
    <w:p w:rsidR="7F0319B9" w:rsidP="270F724D" w:rsidRDefault="7F0319B9" w14:paraId="284C5D26" w14:textId="09FE06AA">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Reflect the curriculum sequence</w:t>
      </w:r>
    </w:p>
    <w:p w:rsidR="7F0319B9" w:rsidP="270F724D" w:rsidRDefault="7F0319B9" w14:paraId="0E0AF8C7" w14:textId="326E116F">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Support long-term retention</w:t>
      </w:r>
    </w:p>
    <w:p w:rsidR="7F0319B9" w:rsidP="270F724D" w:rsidRDefault="7F0319B9" w14:paraId="49726A3B" w14:textId="79537BEA">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Provide meaningful information for future teaching</w:t>
      </w:r>
    </w:p>
    <w:p w:rsidR="7F0319B9" w:rsidP="270F724D" w:rsidRDefault="7F0319B9" w14:paraId="296A4744" w14:textId="151AE93B">
      <w:pPr>
        <w:pStyle w:val="ListParagraph"/>
        <w:numPr>
          <w:ilvl w:val="0"/>
          <w:numId w:val="8"/>
        </w:numPr>
        <w:spacing w:before="0" w:beforeAutospacing="off" w:after="0" w:afterAutospacing="off"/>
        <w:rPr>
          <w:rFonts w:ascii="ui-sans-serif" w:hAnsi="ui-sans-serif" w:eastAsia="ui-sans-serif" w:cs="ui-sans-serif"/>
          <w:color w:val="FFFFFF" w:themeColor="background1" w:themeTint="FF" w:themeShade="FF"/>
          <w:sz w:val="24"/>
          <w:szCs w:val="24"/>
        </w:rPr>
      </w:pPr>
      <w:r w:rsidRPr="270F724D" w:rsidR="7F0319B9">
        <w:rPr>
          <w:rFonts w:ascii="ui-sans-serif" w:hAnsi="ui-sans-serif" w:eastAsia="ui-sans-serif" w:cs="ui-sans-serif"/>
          <w:color w:val="FFFFFF" w:themeColor="background1" w:themeTint="FF" w:themeShade="FF"/>
          <w:sz w:val="24"/>
          <w:szCs w:val="24"/>
        </w:rPr>
        <w:t>Are consistent across classes and year groups</w:t>
      </w:r>
    </w:p>
    <w:p w:rsidR="7F0319B9" w:rsidP="270F724D" w:rsidRDefault="7F0319B9" w14:paraId="2960822E" w14:textId="399E0FFF">
      <w:pPr>
        <w:spacing w:before="120" w:beforeAutospacing="off" w:after="60" w:afterAutospacing="off"/>
      </w:pPr>
      <w:r w:rsidRPr="270F724D" w:rsidR="7F0319B9">
        <w:rPr>
          <w:rFonts w:ascii="ui-sans-serif" w:hAnsi="ui-sans-serif" w:eastAsia="ui-sans-serif" w:cs="ui-sans-serif"/>
          <w:color w:val="FFFFFF" w:themeColor="background1" w:themeTint="FF" w:themeShade="FF"/>
          <w:sz w:val="24"/>
          <w:szCs w:val="24"/>
        </w:rPr>
        <w:t>Common assessment materials, shared resources and agreed approaches support consistency across the department while allowing teachers to respond appropriately to the needs of their individual classes.</w:t>
      </w:r>
    </w:p>
    <w:p w:rsidR="7F0319B9" w:rsidP="270F724D" w:rsidRDefault="7F0319B9" w14:paraId="1785338D" w14:textId="1C2501F5">
      <w:pPr>
        <w:spacing w:before="240" w:beforeAutospacing="off" w:after="0" w:afterAutospacing="off"/>
      </w:pPr>
      <w:r w:rsidRPr="270F724D" w:rsidR="7F0319B9">
        <w:rPr>
          <w:rFonts w:ascii="ui-sans-serif" w:hAnsi="ui-sans-serif" w:eastAsia="ui-sans-serif" w:cs="ui-sans-serif"/>
          <w:color w:val="FFFFFF" w:themeColor="background1" w:themeTint="FF" w:themeShade="FF"/>
          <w:sz w:val="24"/>
          <w:szCs w:val="24"/>
        </w:rPr>
        <w:t xml:space="preserve">Ultimately, the assessment programme is designed to ensure that </w:t>
      </w:r>
      <w:r w:rsidRPr="270F724D" w:rsidR="7F0319B9">
        <w:rPr>
          <w:rFonts w:ascii="ui-sans-serif" w:hAnsi="ui-sans-serif" w:eastAsia="ui-sans-serif" w:cs="ui-sans-serif"/>
          <w:b w:val="1"/>
          <w:bCs w:val="1"/>
          <w:color w:val="FFFFFF" w:themeColor="background1" w:themeTint="FF" w:themeShade="FF"/>
          <w:sz w:val="24"/>
          <w:szCs w:val="24"/>
        </w:rPr>
        <w:t>assessment is an integral part of the learning process</w:t>
      </w:r>
      <w:r w:rsidRPr="270F724D" w:rsidR="7F0319B9">
        <w:rPr>
          <w:rFonts w:ascii="ui-sans-serif" w:hAnsi="ui-sans-serif" w:eastAsia="ui-sans-serif" w:cs="ui-sans-serif"/>
          <w:color w:val="FFFFFF" w:themeColor="background1" w:themeTint="FF" w:themeShade="FF"/>
          <w:sz w:val="24"/>
          <w:szCs w:val="24"/>
        </w:rPr>
        <w:t>: identifying what students know, revealing what they do not yet know, and providing teachers with the information needed to decide what should happen next.</w:t>
      </w:r>
    </w:p>
    <w:p w:rsidR="270F724D" w:rsidP="270F724D" w:rsidRDefault="270F724D" w14:paraId="432C3E47" w14:textId="3712E359">
      <w:pPr>
        <w:pStyle w:val="Body"/>
      </w:pPr>
    </w:p>
    <w:sectPr>
      <w:headerReference w:type="default" r:id="rId4"/>
      <w:headerReference w:type="first" r:id="rId5"/>
      <w:footerReference w:type="default" r:id="rId6"/>
      <w:footerReference w:type="first" r:id="rId7"/>
      <w:pgSz w:w="16840" w:h="11900" w:orient="landscape"/>
      <w:pgMar w:top="1440" w:right="1080" w:bottom="1440" w:left="1080" w:header="0" w:footer="0"/>
      <w:pgNumType w:start="0"/>
      <w:titlePg w:val="1"/>
      <w:bidi w:val="0"/>
      <w:cols w:num="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Light">
    <w:charset w:val="00"/>
    <w:family w:val="roman"/>
    <w:pitch w:val="default"/>
  </w:font>
  <w:font w:name="Helvetica Neue">
    <w:charset w:val="00"/>
    <w:family w:val="roman"/>
    <w:pitch w:val="default"/>
  </w:font>
  <w:font w:name="Carlito">
    <w:charset w:val="00"/>
    <w:family w:val="roman"/>
    <w:pitch w:val="default"/>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3DEEC669" wp14:textId="77777777">
    <w:pPr>
      <w:pStyle w:val="Header &amp; Footer"/>
      <w:bidi w:val="0"/>
    </w:pPr>
    <w:r/>
  </w:p>
</w:ftr>
</file>

<file path=word/footer2.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3656B9AB" wp14:textId="77777777">
    <w:pPr>
      <w:pStyle w:val="Header &amp; Footer"/>
      <w:bidi w:val="0"/>
    </w:pPr>
    <w:r/>
  </w:p>
</w:ftr>
</file>

<file path=word/header1.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mc:Ignorable="w14 wp14">
  <w:p xmlns:wp14="http://schemas.microsoft.com/office/word/2010/wordml" w14:paraId="2CB32EC8" wp14:textId="77777777">
    <w:pPr>
      <w:pStyle w:val="Body"/>
      <w:jc w:val="center"/>
    </w:pPr>
    <w:r>
      <w:drawing xmlns:a="http://schemas.openxmlformats.org/drawingml/2006/main">
        <wp:anchor xmlns:wp14="http://schemas.microsoft.com/office/word/2010/wordprocessingDrawing" distT="152400" distB="152400" distL="152400" distR="152400" simplePos="0" relativeHeight="251658240" behindDoc="1" locked="0" layoutInCell="1" allowOverlap="1" wp14:anchorId="4D18DA7D" wp14:editId="7777777">
          <wp:simplePos x="0" y="0"/>
          <wp:positionH relativeFrom="page">
            <wp:posOffset>0</wp:posOffset>
          </wp:positionH>
          <wp:positionV relativeFrom="page">
            <wp:posOffset>-427989</wp:posOffset>
          </wp:positionV>
          <wp:extent cx="5738649" cy="10613961"/>
          <wp:effectExtent l="0" t="0" r="0" b="0"/>
          <wp:wrapNone/>
          <wp:docPr id="1073741825" name="officeArt object" descr="Picture 35"/>
          <wp:cNvGraphicFramePr/>
          <a:graphic xmlns:a="http://schemas.openxmlformats.org/drawingml/2006/main">
            <a:graphicData uri="http://schemas.openxmlformats.org/drawingml/2006/picture">
              <pic:pic xmlns:pic="http://schemas.openxmlformats.org/drawingml/2006/picture">
                <pic:nvPicPr>
                  <pic:cNvPr id="1073741825" name="Picture 35" descr="Picture 35"/>
                  <pic:cNvPicPr>
                    <a:picLocks noChangeAspect="1"/>
                  </pic:cNvPicPr>
                </pic:nvPicPr>
                <pic:blipFill>
                  <a:blip r:embed="rId1">
                    <a:extLst/>
                  </a:blip>
                  <a:stretch>
                    <a:fillRect/>
                  </a:stretch>
                </pic:blipFill>
                <pic:spPr>
                  <a:xfrm>
                    <a:off x="0" y="0"/>
                    <a:ext cx="5738649" cy="10613961"/>
                  </a:xfrm>
                  <a:prstGeom prst="rect">
                    <a:avLst/>
                  </a:prstGeom>
                  <a:ln w="12700" cap="flat">
                    <a:noFill/>
                    <a:miter lim="400000"/>
                  </a:ln>
                  <a:effectLst/>
                </pic:spPr>
              </pic:pic>
            </a:graphicData>
          </a:graphic>
        </wp:anchor>
      </w:drawing>
    </w:r>
    <w:r/>
  </w:p>
</w:hdr>
</file>

<file path=word/header2.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mc:Ignorable="w14 wp14">
  <w:p xmlns:wp14="http://schemas.microsoft.com/office/word/2010/wordml" w14:paraId="586EB22A" wp14:textId="77777777">
    <w:pPr>
      <w:pStyle w:val="header"/>
    </w:pPr>
    <w:r>
      <w:drawing xmlns:a="http://schemas.openxmlformats.org/drawingml/2006/main">
        <wp:anchor xmlns:wp14="http://schemas.microsoft.com/office/word/2010/wordprocessingDrawing" distT="152400" distB="152400" distL="152400" distR="152400" simplePos="0" relativeHeight="251658240" behindDoc="1" locked="0" layoutInCell="1" allowOverlap="1" wp14:anchorId="15397A7E" wp14:editId="7777777">
          <wp:simplePos x="0" y="0"/>
          <wp:positionH relativeFrom="page">
            <wp:posOffset>-233680</wp:posOffset>
          </wp:positionH>
          <wp:positionV relativeFrom="page">
            <wp:posOffset>23494</wp:posOffset>
          </wp:positionV>
          <wp:extent cx="5854066" cy="10828656"/>
          <wp:effectExtent l="0" t="0" r="0" b="0"/>
          <wp:wrapNone/>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1">
                    <a:extLst/>
                  </a:blip>
                  <a:stretch>
                    <a:fillRect/>
                  </a:stretch>
                </pic:blipFill>
                <pic:spPr>
                  <a:xfrm>
                    <a:off x="0" y="0"/>
                    <a:ext cx="5854066" cy="10828656"/>
                  </a:xfrm>
                  <a:prstGeom prst="rect">
                    <a:avLst/>
                  </a:prstGeom>
                  <a:ln w="12700" cap="flat">
                    <a:noFill/>
                    <a:miter lim="400000"/>
                  </a:ln>
                  <a:effectLst/>
                </pic:spPr>
              </pic:pic>
            </a:graphicData>
          </a:graphic>
        </wp:anchor>
      </w:drawing>
    </w:r>
    <w:r/>
  </w:p>
</w:hdr>
</file>

<file path=word/numbering.xml><?xml version="1.0" encoding="utf-8"?>
<w:numbering xmlns:w="http://schemas.openxmlformats.org/wordprocessingml/2006/main">
  <w:abstractNum xmlns:w="http://schemas.openxmlformats.org/wordprocessingml/2006/main" w:abstractNumId="8">
    <w:nsid w:val="2821b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42e4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3771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2a7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01f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979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a17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8a2f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14="http://schemas.microsoft.com/office/word/2010/wordml" xmlns:wp14="http://schemas.microsoft.com/office/word/2010/wordprocessingDrawing" xmlns:mc="http://schemas.openxmlformats.org/markup-compatibility/2006" xmlns:o="urn:schemas-microsoft-com:office:office" xmlns:v="urn:schemas-microsoft-com:vml" xmlns:w="http://schemas.openxmlformats.org/wordprocessingml/2006/main" xmlns:w15="http://schemas.microsoft.com/office/word/2012/wordml" mc:Ignorable="w14 wp14 w15">
  <w:view w:val="print"/>
  <w:displayBackgroundShape/>
  <w:mirrorMargins w:val="0"/>
  <w:bordersDoNotSurroundHeader w:val="0"/>
  <w:bordersDoNotSurroundFooter w:val="0"/>
  <w:revisionView w:markup="1" w:comments="1" w:insDel="1" w:formatting="0"/>
  <w:trackRevisions w:val="false"/>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14:docId w14:val="14F2491E"/>
  <w15:docId w15:val="{D77993C2-9D96-45EC-B3A8-BFF9B7987F84}"/>
  <w:rsids>
    <w:rsidRoot w:val="270F724D"/>
    <w:rsid w:val="270F724D"/>
    <w:rsid w:val="7F0319B9"/>
  </w:rsids>
</w:settings>
</file>

<file path=word/styles.xml><?xml version="1.0" encoding="utf-8"?>
<w:styles xmlns:wp14="http://schemas.microsoft.com/office/word/2010/wordprocessingDrawing" xmlns:w="http://schemas.openxmlformats.org/wordprocessingml/2006/main" xmlns:mc="http://schemas.openxmlformats.org/markup-compatibility/2006" xmlns:w14="http://schemas.microsoft.com/office/word/2010/wordml" mc:Ignorable="w14 wp14">
  <w:docDefaults>
    <w:rPrDefault>
      <w:rPr>
        <w:rFonts w:ascii="Times New Roman" w:hAnsi="Times New Roman" w:eastAsia="Arial Unicode MS" w:cs="Times New Roman"/>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w="0" w:h="0" w:vSpace="0" w:hSpace="0" w:vAnchor="margin" w:xAlign="left" w:y="0" w:hRule="exact" w:anchorLock="0"/>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styleId="Normal" w:default="1">
    <w:name w:val="Normal"/>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Light" w:hAnsi="Calibri Light" w:eastAsia="Arial Unicode MS" w:cs="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Light" w:hAnsi="Calibri Light" w:eastAsia="Arial Unicode MS" w:cs="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Light" w:hAnsi="Calibri Light" w:eastAsia="Arial Unicode MS" w:cs="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tyle2">
    <w:name w:val="Style2"/>
    <w:next w:val="Style2"/>
    <w:pPr>
      <w:keepNext w:val="0"/>
      <w:keepLines w:val="0"/>
      <w:pageBreakBefore w:val="0"/>
      <w:widowControl w:val="1"/>
      <w:pBdr>
        <w:top w:val="single" w:color="538135" w:sz="6" w:space="0" w:shadow="0" w:frame="0"/>
        <w:left w:val="nil"/>
        <w:bottom w:val="single" w:color="538135" w:sz="6" w:space="0" w:shadow="0" w:frame="0"/>
        <w:right w:val="nil"/>
      </w:pBdr>
      <w:shd w:val="clear" w:color="auto" w:fill="auto"/>
      <w:suppressAutoHyphens w:val="0"/>
      <w:bidi w:val="0"/>
      <w:spacing w:before="0" w:after="240" w:line="240" w:lineRule="auto"/>
      <w:ind w:left="0" w:right="0" w:firstLine="0"/>
      <w:jc w:val="center"/>
      <w:outlineLvl w:val="9"/>
    </w:pPr>
    <w:rPr>
      <w:rFonts w:ascii="Carlito" w:hAnsi="Carlito" w:eastAsia="Arial Unicode MS" w:cs="Arial Unicode MS"/>
      <w:b w:val="1"/>
      <w:bCs w:val="1"/>
      <w:i w:val="0"/>
      <w:iCs w:val="0"/>
      <w:caps w:val="0"/>
      <w:smallCaps w:val="0"/>
      <w:strike w:val="0"/>
      <w:dstrike w:val="0"/>
      <w:outline w:val="0"/>
      <w:color w:val="538135"/>
      <w:spacing w:val="0"/>
      <w:kern w:val="0"/>
      <w:position w:val="0"/>
      <w:sz w:val="72"/>
      <w:szCs w:val="72"/>
      <w:u w:val="none" w:color="538135"/>
      <w:shd w:val="nil" w:color="auto" w:fill="auto"/>
      <w:vertAlign w:val="baseline"/>
      <w:lang w:val="en-US"/>
      <w14:textFill>
        <w14:solidFill>
          <w14:srgbClr w14:val="538135"/>
        </w14:solidFill>
      </w14:textFill>
    </w:rPr>
  </w:style>
  <w:style w:type="character" w:styleId="subject heading">
    <w:name w:val="subject heading"/>
    <w:rPr>
      <w:rFonts w:ascii="Calibri Light" w:hAnsi="Calibri Light"/>
      <w:outline w:val="0"/>
      <w:color w:val="538135"/>
      <w:sz w:val="52"/>
      <w:szCs w:val="52"/>
      <w:u w:color="538135"/>
      <w:lang w:val="en-US"/>
      <w14:textFill>
        <w14:solidFill>
          <w14:srgbClr w14:val="538135"/>
        </w14:solidFill>
      </w14:textFill>
    </w:rPr>
  </w:style>
  <w:style w:type="paragraph" w:styleId="Heading2">
    <w:uiPriority w:val="9"/>
    <w:name w:val="heading 2"/>
    <w:basedOn w:val="Normal"/>
    <w:next w:val="Normal"/>
    <w:unhideWhenUsed/>
    <w:qFormat/>
    <w:rsid w:val="270F724D"/>
    <w:rPr>
      <w:rFonts w:ascii="Helvetica Neue" w:hAnsi="Helvetica Neue" w:eastAsia="Helvetica Neue" w:cs="Helvetica Neue" w:asciiTheme="majorAscii" w:hAnsiTheme="majorAscii" w:eastAsiaTheme="majorEastAsia" w:cstheme="majorBidi"/>
      <w:color w:val="2E74B5"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70F724D"/>
    <w:rPr>
      <w:rFonts w:eastAsia="Helvetica Neue" w:cs="Helvetica Neue" w:eastAsiaTheme="majorEastAsia" w:cstheme="majorBidi"/>
      <w:color w:val="2E74B5"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70F724D"/>
    <w:pPr>
      <w:spacing/>
      <w:ind w:left="720"/>
      <w:contextualSpacing/>
    </w:p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styles" Target="styles.xml" Id="rId3" /><Relationship Type="http://schemas.openxmlformats.org/officeDocument/2006/relationships/header" Target="header1.xml" Id="rId4" /><Relationship Type="http://schemas.openxmlformats.org/officeDocument/2006/relationships/header" Target="header2.xml" Id="rId5" /><Relationship Type="http://schemas.openxmlformats.org/officeDocument/2006/relationships/footer" Target="footer1.xml" Id="rId6" /><Relationship Type="http://schemas.openxmlformats.org/officeDocument/2006/relationships/footer" Target="footer2.xml" Id="rId7" /><Relationship Type="http://schemas.openxmlformats.org/officeDocument/2006/relationships/theme" Target="theme/theme1.xml" Id="rId8" /><Relationship Type="http://schemas.openxmlformats.org/officeDocument/2006/relationships/numbering" Target="numbering.xml" Id="Ree7f2a8332ea459e" /></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_rels/header2.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txDef>
  </a:objectDefaults>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Carmen Lopez</lastModifiedBy>
  <dcterms:modified xsi:type="dcterms:W3CDTF">2026-08-31T21:01:18.5879720Z</dcterms:modified>
</coreProperties>
</file>